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1A931" w14:textId="492B313F" w:rsidR="003F2B7E" w:rsidRPr="003F65EA" w:rsidRDefault="00792935" w:rsidP="00444DD7">
      <w:pPr>
        <w:ind w:left="-426" w:right="372"/>
        <w:rPr>
          <w:rFonts w:ascii="Barlow" w:hAnsi="Barlow" w:cs="Calibri"/>
          <w:b/>
          <w:i/>
          <w:sz w:val="28"/>
          <w:szCs w:val="28"/>
          <w:lang w:val="en-US"/>
        </w:rPr>
      </w:pPr>
      <w:r w:rsidRPr="003F65EA">
        <w:rPr>
          <w:rFonts w:ascii="Barlow" w:hAnsi="Barlow" w:cs="Calibri"/>
          <w:b/>
          <w:i/>
          <w:sz w:val="28"/>
          <w:szCs w:val="28"/>
          <w:lang w:val="en-US"/>
        </w:rPr>
        <w:t>CAS</w:t>
      </w:r>
      <w:r w:rsidR="003D349C" w:rsidRPr="003F65EA">
        <w:rPr>
          <w:rFonts w:ascii="Barlow" w:hAnsi="Barlow" w:cs="Calibri"/>
          <w:b/>
          <w:i/>
          <w:sz w:val="28"/>
          <w:szCs w:val="28"/>
          <w:lang w:val="en-US"/>
        </w:rPr>
        <w:t xml:space="preserve"> Online Registration System</w:t>
      </w:r>
      <w:r w:rsidR="00DB21CA" w:rsidRPr="003F65EA">
        <w:rPr>
          <w:rFonts w:ascii="Barlow" w:hAnsi="Barlow" w:cs="Calibri"/>
          <w:b/>
          <w:i/>
          <w:sz w:val="28"/>
          <w:szCs w:val="28"/>
          <w:lang w:val="en-US"/>
        </w:rPr>
        <w:t xml:space="preserve"> </w:t>
      </w:r>
      <w:r w:rsidR="00F22C0F" w:rsidRPr="003F65EA">
        <w:rPr>
          <w:rFonts w:ascii="Barlow" w:hAnsi="Barlow" w:cs="Calibri"/>
          <w:b/>
          <w:i/>
          <w:sz w:val="28"/>
          <w:szCs w:val="28"/>
          <w:lang w:val="en-US"/>
        </w:rPr>
        <w:t>–</w:t>
      </w:r>
      <w:r w:rsidR="00DB21CA" w:rsidRPr="003F65EA">
        <w:rPr>
          <w:rFonts w:ascii="Barlow" w:hAnsi="Barlow" w:cs="Calibri"/>
          <w:b/>
          <w:i/>
          <w:sz w:val="28"/>
          <w:szCs w:val="28"/>
          <w:lang w:val="en-US"/>
        </w:rPr>
        <w:t xml:space="preserve"> </w:t>
      </w:r>
      <w:r w:rsidR="00510C9C" w:rsidRPr="003F65EA">
        <w:rPr>
          <w:rFonts w:ascii="Barlow" w:hAnsi="Barlow" w:cs="Calibri"/>
          <w:b/>
          <w:i/>
          <w:sz w:val="28"/>
          <w:szCs w:val="28"/>
          <w:lang w:val="en-US"/>
        </w:rPr>
        <w:t xml:space="preserve">Registration Payment </w:t>
      </w:r>
      <w:r w:rsidR="00ED0370" w:rsidRPr="00926D59">
        <w:rPr>
          <w:rFonts w:ascii="Barlow" w:hAnsi="Barlow" w:cs="Calibri"/>
          <w:b/>
          <w:i/>
          <w:sz w:val="28"/>
          <w:szCs w:val="28"/>
          <w:lang w:val="en-US"/>
        </w:rPr>
        <w:t xml:space="preserve">Summary </w:t>
      </w:r>
      <w:r w:rsidR="00510C9C" w:rsidRPr="003F65EA">
        <w:rPr>
          <w:rFonts w:ascii="Barlow" w:hAnsi="Barlow" w:cs="Calibri"/>
          <w:b/>
          <w:i/>
          <w:sz w:val="28"/>
          <w:szCs w:val="28"/>
          <w:lang w:val="en-US"/>
        </w:rPr>
        <w:t>Report – Clubs and PTSOs</w:t>
      </w:r>
    </w:p>
    <w:p w14:paraId="05DA3879" w14:textId="6B469B62" w:rsidR="00510C9C" w:rsidRDefault="00510C9C" w:rsidP="00444DD7">
      <w:pPr>
        <w:ind w:left="-426" w:right="372"/>
        <w:rPr>
          <w:rFonts w:ascii="Barlow" w:hAnsi="Barlow" w:cs="Calibri"/>
          <w:lang w:val="en-US"/>
        </w:rPr>
      </w:pPr>
      <w:r>
        <w:rPr>
          <w:rFonts w:ascii="Barlow" w:hAnsi="Barlow" w:cs="Calibri"/>
          <w:lang w:val="en-US"/>
        </w:rPr>
        <w:t xml:space="preserve">The Payment Summary Report has been implemented for both clubs and PTSOs to use. </w:t>
      </w:r>
    </w:p>
    <w:p w14:paraId="0C0C0828" w14:textId="441AE585" w:rsidR="000F5853" w:rsidRDefault="00510C9C" w:rsidP="00444DD7">
      <w:pPr>
        <w:ind w:left="-426" w:right="372"/>
        <w:rPr>
          <w:rFonts w:ascii="Barlow" w:hAnsi="Barlow" w:cs="Calibri"/>
          <w:lang w:val="en-US"/>
        </w:rPr>
      </w:pPr>
      <w:r>
        <w:rPr>
          <w:rFonts w:ascii="Barlow" w:hAnsi="Barlow" w:cs="Calibri"/>
          <w:lang w:val="en-US"/>
        </w:rPr>
        <w:t>Clubs will use the report to select batches that have been submitted. Along with the payment, clubs will include the report to identify which batches have been paid with their payment.</w:t>
      </w:r>
    </w:p>
    <w:p w14:paraId="4C7508C4" w14:textId="4E08E23C" w:rsidR="00510C9C" w:rsidRDefault="00510C9C" w:rsidP="00444DD7">
      <w:pPr>
        <w:ind w:left="-426" w:right="372"/>
        <w:rPr>
          <w:rFonts w:ascii="Barlow" w:hAnsi="Barlow" w:cs="Calibri"/>
          <w:lang w:val="en-US"/>
        </w:rPr>
      </w:pPr>
      <w:r>
        <w:rPr>
          <w:rFonts w:ascii="Barlow" w:hAnsi="Barlow" w:cs="Calibri"/>
          <w:lang w:val="en-US"/>
        </w:rPr>
        <w:t xml:space="preserve">PTSOs will use the report to select batches and </w:t>
      </w:r>
      <w:r w:rsidR="00923A9C">
        <w:rPr>
          <w:rFonts w:ascii="Barlow" w:hAnsi="Barlow" w:cs="Calibri"/>
          <w:lang w:val="en-US"/>
        </w:rPr>
        <w:t>coach/official payments that have been submitted to CAS. Along with the payment, PTSOs will include the report to identify which batches and payment records have been paid with their payment.</w:t>
      </w:r>
    </w:p>
    <w:p w14:paraId="45DBF9F4" w14:textId="12602658" w:rsidR="00F7391C" w:rsidRDefault="00F7391C" w:rsidP="00444DD7">
      <w:pPr>
        <w:ind w:left="-426" w:right="372"/>
        <w:rPr>
          <w:rFonts w:ascii="Barlow" w:hAnsi="Barlow" w:cs="Calibri"/>
          <w:lang w:val="en-US"/>
        </w:rPr>
      </w:pPr>
      <w:r>
        <w:rPr>
          <w:rFonts w:ascii="Barlow" w:hAnsi="Barlow" w:cs="Calibri"/>
          <w:lang w:val="en-US"/>
        </w:rPr>
        <w:t>On the list of registration batches, a check box will appear once a batch has been submitted that allows you to select the batch for payment. You can select as many batches for payment as you need. When you have selected the batches for payment, you can click the “Payment Summary Report”. The report will be displayed with only the batches that you have selected for payment. You can print the report or save it as a PDF. This report should be submitted along with the payment.</w:t>
      </w:r>
      <w:r w:rsidR="00EB262B">
        <w:rPr>
          <w:rFonts w:ascii="Barlow" w:hAnsi="Barlow" w:cs="Calibri"/>
          <w:lang w:val="en-US"/>
        </w:rPr>
        <w:t xml:space="preserve"> </w:t>
      </w:r>
      <w:r w:rsidR="00EB262B" w:rsidRPr="00EB262B">
        <w:rPr>
          <w:rFonts w:ascii="Barlow" w:hAnsi="Barlow" w:cs="Calibri"/>
          <w:b/>
          <w:bCs/>
          <w:i/>
          <w:iCs/>
          <w:lang w:val="en-US"/>
        </w:rPr>
        <w:t>USE the back arrow to return to the previous screen</w:t>
      </w:r>
      <w:r w:rsidR="00EB262B">
        <w:rPr>
          <w:rFonts w:ascii="Barlow" w:hAnsi="Barlow" w:cs="Calibri"/>
          <w:b/>
          <w:bCs/>
          <w:i/>
          <w:iCs/>
          <w:lang w:val="en-US"/>
        </w:rPr>
        <w:t>.</w:t>
      </w:r>
    </w:p>
    <w:p w14:paraId="0A7EFAAA" w14:textId="0DABC514" w:rsidR="00F7391C" w:rsidRDefault="00F7391C" w:rsidP="00444DD7">
      <w:pPr>
        <w:ind w:left="-426" w:right="372"/>
        <w:rPr>
          <w:rFonts w:ascii="Barlow" w:hAnsi="Barlow" w:cs="Calibri"/>
          <w:lang w:val="en-US"/>
        </w:rPr>
      </w:pPr>
      <w:r w:rsidRPr="00C51DB5">
        <w:rPr>
          <w:rFonts w:ascii="Barlow" w:hAnsi="Barlow" w:cs="Calibri"/>
          <w:b/>
          <w:bCs/>
          <w:lang w:val="en-US"/>
        </w:rPr>
        <w:t>NOTE</w:t>
      </w:r>
      <w:r>
        <w:rPr>
          <w:rFonts w:ascii="Barlow" w:hAnsi="Barlow" w:cs="Calibri"/>
          <w:lang w:val="en-US"/>
        </w:rPr>
        <w:t>: once a batch has been printed on a payment summary report, an “S” will appear beside the check box. This is to let you know it has already been included on a payment summary report. The “S” does NOT prevent you have selecting it again to include on another payment summary report if required.</w:t>
      </w:r>
      <w:r w:rsidR="00EB262B">
        <w:rPr>
          <w:rFonts w:ascii="Barlow" w:hAnsi="Barlow" w:cs="Calibri"/>
          <w:lang w:val="en-US"/>
        </w:rPr>
        <w:t xml:space="preserve"> </w:t>
      </w:r>
    </w:p>
    <w:p w14:paraId="22D04F41" w14:textId="2A99E470" w:rsidR="00F7391C" w:rsidRDefault="00F7391C" w:rsidP="00444DD7">
      <w:pPr>
        <w:ind w:left="-426" w:right="372"/>
        <w:rPr>
          <w:rFonts w:ascii="Barlow" w:hAnsi="Barlow" w:cs="Calibri"/>
          <w:lang w:val="en-US"/>
        </w:rPr>
      </w:pPr>
      <w:r w:rsidRPr="00C51DB5">
        <w:rPr>
          <w:rFonts w:ascii="Barlow" w:hAnsi="Barlow" w:cs="Calibri"/>
          <w:b/>
          <w:bCs/>
          <w:lang w:val="en-US"/>
        </w:rPr>
        <w:t>For Clubs</w:t>
      </w:r>
      <w:r>
        <w:rPr>
          <w:rFonts w:ascii="Barlow" w:hAnsi="Barlow" w:cs="Calibri"/>
          <w:lang w:val="en-US"/>
        </w:rPr>
        <w:t>, once a batch has been submitted (PAY</w:t>
      </w:r>
      <w:r w:rsidR="00C51DB5">
        <w:rPr>
          <w:rFonts w:ascii="Barlow" w:hAnsi="Barlow" w:cs="Calibri"/>
          <w:lang w:val="en-US"/>
        </w:rPr>
        <w:t>T</w:t>
      </w:r>
      <w:r>
        <w:rPr>
          <w:rFonts w:ascii="Barlow" w:hAnsi="Barlow" w:cs="Calibri"/>
          <w:lang w:val="en-US"/>
        </w:rPr>
        <w:t xml:space="preserve"> WAIT status), you can select the batch to include on your payment summary report.</w:t>
      </w:r>
      <w:r w:rsidR="00C51DB5">
        <w:rPr>
          <w:rFonts w:ascii="Barlow" w:hAnsi="Barlow" w:cs="Calibri"/>
          <w:lang w:val="en-US"/>
        </w:rPr>
        <w:t xml:space="preserve"> If you have multiple batches you want to include, select each batch to include. Then click the payment summary report button.</w:t>
      </w:r>
    </w:p>
    <w:p w14:paraId="1FF3212A" w14:textId="6CDD74BA" w:rsidR="00C51DB5" w:rsidRDefault="00C51DB5" w:rsidP="00444DD7">
      <w:pPr>
        <w:ind w:left="-426" w:right="372"/>
        <w:rPr>
          <w:rFonts w:ascii="Barlow" w:hAnsi="Barlow" w:cs="Calibri"/>
          <w:lang w:val="en-US"/>
        </w:rPr>
      </w:pPr>
      <w:r>
        <w:rPr>
          <w:rFonts w:ascii="Barlow" w:hAnsi="Barlow" w:cs="Calibri"/>
          <w:b/>
          <w:bCs/>
          <w:lang w:val="en-US"/>
        </w:rPr>
        <w:t xml:space="preserve">For PTSOs, </w:t>
      </w:r>
      <w:r>
        <w:rPr>
          <w:rFonts w:ascii="Barlow" w:hAnsi="Barlow" w:cs="Calibri"/>
          <w:lang w:val="en-US"/>
        </w:rPr>
        <w:t>once a batch has been submitted (PAYT WAIT (NSO) status), you can select the batch to include on your payment summary report. You can ALSO go to your “Submitted Payments” and select payments that have been submitted (PAYT WAIT(NSO) status) to include on your payment summary report. You can include both batches and payments on the same summary report if you like. Just check the batches to include, go to the payments and check payments to include and THEN click “Print Summary Report”. This can be done from either screen (batch or payments screen). Once printed, the “S” will appear beside those already printed. But again, you can reselect anytime.</w:t>
      </w:r>
    </w:p>
    <w:p w14:paraId="3B681124" w14:textId="69768A84" w:rsidR="00C51DB5" w:rsidRDefault="00C51DB5" w:rsidP="00444DD7">
      <w:pPr>
        <w:ind w:left="-426" w:right="372"/>
        <w:rPr>
          <w:rFonts w:ascii="Barlow" w:hAnsi="Barlow" w:cs="Calibri"/>
          <w:lang w:val="en-US"/>
        </w:rPr>
      </w:pPr>
      <w:r w:rsidRPr="00C51DB5">
        <w:rPr>
          <w:rFonts w:ascii="Barlow" w:hAnsi="Barlow" w:cs="Calibri"/>
          <w:b/>
          <w:bCs/>
          <w:lang w:val="en-US"/>
        </w:rPr>
        <w:t>NOTE:</w:t>
      </w:r>
      <w:r>
        <w:rPr>
          <w:rFonts w:ascii="Barlow" w:hAnsi="Barlow" w:cs="Calibri"/>
          <w:lang w:val="en-US"/>
        </w:rPr>
        <w:t xml:space="preserve"> the “Payment Summary Report” button will only appear if there have been batches or payments selected for printing.</w:t>
      </w:r>
    </w:p>
    <w:p w14:paraId="03ACCB37" w14:textId="06D3EDD3" w:rsidR="00C51DB5" w:rsidRDefault="00C51DB5">
      <w:pPr>
        <w:spacing w:after="0" w:line="240" w:lineRule="auto"/>
        <w:rPr>
          <w:rFonts w:ascii="Barlow" w:hAnsi="Barlow" w:cs="Calibri"/>
          <w:lang w:val="en-US"/>
        </w:rPr>
      </w:pPr>
      <w:r>
        <w:rPr>
          <w:rFonts w:ascii="Barlow" w:hAnsi="Barlow" w:cs="Calibri"/>
          <w:lang w:val="en-US"/>
        </w:rPr>
        <w:br w:type="page"/>
      </w:r>
    </w:p>
    <w:p w14:paraId="2110F427" w14:textId="002A057F" w:rsidR="009D7A94" w:rsidRPr="00AB3665" w:rsidRDefault="00923A9C" w:rsidP="00262236">
      <w:pPr>
        <w:ind w:left="1843" w:right="372" w:hanging="2269"/>
        <w:rPr>
          <w:rFonts w:ascii="Barlow" w:hAnsi="Barlow" w:cs="Calibri"/>
          <w:b/>
          <w:sz w:val="24"/>
          <w:szCs w:val="24"/>
          <w:lang w:val="en-US"/>
        </w:rPr>
      </w:pPr>
      <w:r>
        <w:rPr>
          <w:rFonts w:ascii="Barlow" w:hAnsi="Barlow" w:cs="Calibri"/>
          <w:b/>
          <w:sz w:val="24"/>
          <w:szCs w:val="24"/>
          <w:lang w:val="en-US"/>
        </w:rPr>
        <w:lastRenderedPageBreak/>
        <w:t xml:space="preserve">Club </w:t>
      </w:r>
      <w:r w:rsidR="00C51DB5">
        <w:rPr>
          <w:rFonts w:ascii="Barlow" w:hAnsi="Barlow" w:cs="Calibri"/>
          <w:b/>
          <w:sz w:val="24"/>
          <w:szCs w:val="24"/>
          <w:lang w:val="en-US"/>
        </w:rPr>
        <w:t>Payment Summary Report Screens</w:t>
      </w:r>
    </w:p>
    <w:p w14:paraId="1C49E986" w14:textId="39C56BA4" w:rsidR="00923A9C" w:rsidRDefault="00C51DB5" w:rsidP="00444DD7">
      <w:pPr>
        <w:spacing w:after="0"/>
        <w:ind w:left="-426" w:right="372"/>
        <w:rPr>
          <w:rFonts w:ascii="Barlow" w:hAnsi="Barlow" w:cs="Calibri"/>
          <w:lang w:val="en-US"/>
        </w:rPr>
      </w:pPr>
      <w:r>
        <w:rPr>
          <w:rFonts w:ascii="Barlow" w:hAnsi="Barlow" w:cs="Calibri"/>
          <w:lang w:val="en-US"/>
        </w:rPr>
        <w:t>List of batches for a club, only “PAY WAIT” (payments submitted by club) can be print</w:t>
      </w:r>
      <w:r w:rsidR="00791A93">
        <w:rPr>
          <w:rFonts w:ascii="Barlow" w:hAnsi="Barlow" w:cs="Calibri"/>
          <w:lang w:val="en-US"/>
        </w:rPr>
        <w:t>ed</w:t>
      </w:r>
      <w:r>
        <w:rPr>
          <w:rFonts w:ascii="Barlow" w:hAnsi="Barlow" w:cs="Calibri"/>
          <w:lang w:val="en-US"/>
        </w:rPr>
        <w:t xml:space="preserve"> on payment summary report.</w:t>
      </w:r>
      <w:r w:rsidR="00A160BE">
        <w:rPr>
          <w:rFonts w:ascii="Barlow" w:hAnsi="Barlow" w:cs="Calibri"/>
          <w:lang w:val="en-US"/>
        </w:rPr>
        <w:t xml:space="preserve"> These will have the check boxes beside </w:t>
      </w:r>
      <w:proofErr w:type="gramStart"/>
      <w:r w:rsidR="00A160BE">
        <w:rPr>
          <w:rFonts w:ascii="Barlow" w:hAnsi="Barlow" w:cs="Calibri"/>
          <w:lang w:val="en-US"/>
        </w:rPr>
        <w:t>the</w:t>
      </w:r>
      <w:r w:rsidR="00EB262B">
        <w:rPr>
          <w:rFonts w:ascii="Barlow" w:hAnsi="Barlow" w:cs="Calibri"/>
          <w:lang w:val="en-US"/>
        </w:rPr>
        <w:t xml:space="preserve"> ”Go</w:t>
      </w:r>
      <w:proofErr w:type="gramEnd"/>
      <w:r w:rsidR="00EB262B">
        <w:rPr>
          <w:rFonts w:ascii="Barlow" w:hAnsi="Barlow" w:cs="Calibri"/>
          <w:lang w:val="en-US"/>
        </w:rPr>
        <w:t>” button</w:t>
      </w:r>
      <w:r w:rsidR="00A160BE">
        <w:rPr>
          <w:rFonts w:ascii="Barlow" w:hAnsi="Barlow" w:cs="Calibri"/>
          <w:lang w:val="en-US"/>
        </w:rPr>
        <w:t xml:space="preserve">. You can </w:t>
      </w:r>
      <w:r w:rsidR="00EB262B">
        <w:rPr>
          <w:rFonts w:ascii="Barlow" w:hAnsi="Barlow" w:cs="Calibri"/>
          <w:lang w:val="en-US"/>
        </w:rPr>
        <w:t>check</w:t>
      </w:r>
      <w:r w:rsidR="00A160BE">
        <w:rPr>
          <w:rFonts w:ascii="Barlow" w:hAnsi="Barlow" w:cs="Calibri"/>
          <w:lang w:val="en-US"/>
        </w:rPr>
        <w:t xml:space="preserve"> these on and off as desired.</w:t>
      </w:r>
    </w:p>
    <w:p w14:paraId="28CABD19" w14:textId="04C53CC1" w:rsidR="007D6DE2" w:rsidRDefault="007D6DE2" w:rsidP="00444DD7">
      <w:pPr>
        <w:spacing w:after="0"/>
        <w:ind w:left="-426" w:right="372"/>
        <w:rPr>
          <w:rFonts w:ascii="Barlow" w:hAnsi="Barlow" w:cs="Calibri"/>
          <w:lang w:val="en-US"/>
        </w:rPr>
      </w:pPr>
    </w:p>
    <w:p w14:paraId="1DB87555" w14:textId="696AE310" w:rsidR="007D6DE2" w:rsidRDefault="001E42C9" w:rsidP="00444DD7">
      <w:pPr>
        <w:spacing w:after="0"/>
        <w:ind w:left="-426" w:right="372"/>
        <w:rPr>
          <w:rFonts w:ascii="Barlow" w:hAnsi="Barlow" w:cs="Calibri"/>
          <w:lang w:val="en-US"/>
        </w:rPr>
      </w:pPr>
      <w:r>
        <w:rPr>
          <w:rFonts w:ascii="Barlow" w:hAnsi="Barlow" w:cs="Calibri"/>
          <w:noProof/>
          <w:lang w:val="en-US"/>
        </w:rPr>
        <w:drawing>
          <wp:inline distT="0" distB="0" distL="0" distR="0" wp14:anchorId="4495BD65" wp14:editId="40E81C75">
            <wp:extent cx="6627495" cy="2327910"/>
            <wp:effectExtent l="0" t="0" r="190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b batch pic.jpg"/>
                    <pic:cNvPicPr/>
                  </pic:nvPicPr>
                  <pic:blipFill>
                    <a:blip r:embed="rId9"/>
                    <a:stretch>
                      <a:fillRect/>
                    </a:stretch>
                  </pic:blipFill>
                  <pic:spPr>
                    <a:xfrm>
                      <a:off x="0" y="0"/>
                      <a:ext cx="6627495" cy="2327910"/>
                    </a:xfrm>
                    <a:prstGeom prst="rect">
                      <a:avLst/>
                    </a:prstGeom>
                  </pic:spPr>
                </pic:pic>
              </a:graphicData>
            </a:graphic>
          </wp:inline>
        </w:drawing>
      </w:r>
    </w:p>
    <w:p w14:paraId="66DDF68E" w14:textId="4EF9235A" w:rsidR="00A160BE" w:rsidRDefault="00A160BE" w:rsidP="00444DD7">
      <w:pPr>
        <w:spacing w:after="0"/>
        <w:ind w:left="-426" w:right="372"/>
        <w:rPr>
          <w:rFonts w:ascii="Barlow" w:hAnsi="Barlow" w:cs="Calibri"/>
          <w:lang w:val="en-US"/>
        </w:rPr>
      </w:pPr>
    </w:p>
    <w:p w14:paraId="46CE12A1" w14:textId="69F20760" w:rsidR="001E42C9" w:rsidRDefault="001E42C9" w:rsidP="00444DD7">
      <w:pPr>
        <w:spacing w:after="0"/>
        <w:ind w:left="-426" w:right="372"/>
        <w:rPr>
          <w:rFonts w:ascii="Barlow" w:hAnsi="Barlow" w:cs="Calibri"/>
          <w:lang w:val="en-US"/>
        </w:rPr>
      </w:pPr>
      <w:r>
        <w:rPr>
          <w:rFonts w:ascii="Barlow" w:hAnsi="Barlow" w:cs="Calibri"/>
          <w:lang w:val="en-US"/>
        </w:rPr>
        <w:t>Once you select at least 1 batch, the “Payment Summary Report” button appears. You can select and remove selection as required. You can select more than 1 batch as well.</w:t>
      </w:r>
    </w:p>
    <w:p w14:paraId="0511E3E4" w14:textId="77777777" w:rsidR="001E42C9" w:rsidRDefault="001E42C9" w:rsidP="00444DD7">
      <w:pPr>
        <w:spacing w:after="0"/>
        <w:ind w:left="-426" w:right="372"/>
        <w:rPr>
          <w:rFonts w:ascii="Barlow" w:hAnsi="Barlow" w:cs="Calibri"/>
          <w:lang w:val="en-US"/>
        </w:rPr>
      </w:pPr>
    </w:p>
    <w:p w14:paraId="2C075542" w14:textId="2E7682E6" w:rsidR="001E42C9" w:rsidRDefault="001E42C9" w:rsidP="00444DD7">
      <w:pPr>
        <w:spacing w:after="0"/>
        <w:ind w:left="-426" w:right="372"/>
        <w:rPr>
          <w:rFonts w:ascii="Barlow" w:hAnsi="Barlow" w:cs="Calibri"/>
          <w:lang w:val="en-US"/>
        </w:rPr>
      </w:pPr>
      <w:r>
        <w:rPr>
          <w:rFonts w:ascii="Barlow" w:hAnsi="Barlow" w:cs="Calibri"/>
          <w:noProof/>
          <w:lang w:val="en-US"/>
        </w:rPr>
        <w:drawing>
          <wp:inline distT="0" distB="0" distL="0" distR="0" wp14:anchorId="13888B79" wp14:editId="6E9115AB">
            <wp:extent cx="6627495" cy="2471420"/>
            <wp:effectExtent l="0" t="0" r="1905" b="50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ubbatchpic2.jpg"/>
                    <pic:cNvPicPr/>
                  </pic:nvPicPr>
                  <pic:blipFill>
                    <a:blip r:embed="rId10"/>
                    <a:stretch>
                      <a:fillRect/>
                    </a:stretch>
                  </pic:blipFill>
                  <pic:spPr>
                    <a:xfrm>
                      <a:off x="0" y="0"/>
                      <a:ext cx="6627495" cy="2471420"/>
                    </a:xfrm>
                    <a:prstGeom prst="rect">
                      <a:avLst/>
                    </a:prstGeom>
                  </pic:spPr>
                </pic:pic>
              </a:graphicData>
            </a:graphic>
          </wp:inline>
        </w:drawing>
      </w:r>
    </w:p>
    <w:p w14:paraId="7AE6DE1A" w14:textId="77777777" w:rsidR="001E42C9" w:rsidRDefault="001E42C9">
      <w:pPr>
        <w:spacing w:after="0" w:line="240" w:lineRule="auto"/>
        <w:rPr>
          <w:rFonts w:ascii="Barlow" w:hAnsi="Barlow" w:cs="Calibri"/>
          <w:lang w:val="en-US"/>
        </w:rPr>
      </w:pPr>
      <w:r>
        <w:rPr>
          <w:rFonts w:ascii="Barlow" w:hAnsi="Barlow" w:cs="Calibri"/>
          <w:lang w:val="en-US"/>
        </w:rPr>
        <w:br w:type="page"/>
      </w:r>
    </w:p>
    <w:p w14:paraId="0CB1A4C4" w14:textId="77777777" w:rsidR="001E42C9" w:rsidRDefault="001E42C9">
      <w:pPr>
        <w:spacing w:after="0" w:line="240" w:lineRule="auto"/>
        <w:rPr>
          <w:rFonts w:ascii="Barlow" w:hAnsi="Barlow" w:cs="Calibri"/>
          <w:lang w:val="en-US"/>
        </w:rPr>
      </w:pPr>
      <w:r>
        <w:rPr>
          <w:rFonts w:ascii="Barlow" w:hAnsi="Barlow" w:cs="Calibri"/>
          <w:lang w:val="en-US"/>
        </w:rPr>
        <w:lastRenderedPageBreak/>
        <w:t>Once you click the “Payment Summary Report” button, the report appears on the screen for all batches selected.</w:t>
      </w:r>
    </w:p>
    <w:p w14:paraId="0DFC38C1" w14:textId="08FA2D26" w:rsidR="001E42C9" w:rsidRDefault="001E42C9">
      <w:pPr>
        <w:spacing w:after="0" w:line="240" w:lineRule="auto"/>
        <w:rPr>
          <w:rFonts w:ascii="Barlow" w:hAnsi="Barlow" w:cs="Calibri"/>
          <w:lang w:val="en-US"/>
        </w:rPr>
      </w:pPr>
      <w:r>
        <w:rPr>
          <w:rFonts w:ascii="Barlow" w:hAnsi="Barlow" w:cs="Calibri"/>
          <w:lang w:val="en-US"/>
        </w:rPr>
        <w:t>You can print or save the report as a PDF.</w:t>
      </w:r>
      <w:r w:rsidR="00026F2E">
        <w:rPr>
          <w:rFonts w:ascii="Barlow" w:hAnsi="Barlow" w:cs="Calibri"/>
          <w:lang w:val="en-US"/>
        </w:rPr>
        <w:t xml:space="preserve"> The following is an example of the club report.</w:t>
      </w:r>
    </w:p>
    <w:p w14:paraId="355E5DFC" w14:textId="1D286574" w:rsidR="001E42C9" w:rsidRDefault="001E42C9">
      <w:pPr>
        <w:spacing w:after="0" w:line="240" w:lineRule="auto"/>
        <w:rPr>
          <w:rFonts w:ascii="Barlow" w:hAnsi="Barlow" w:cs="Calibri"/>
          <w:lang w:val="en-US"/>
        </w:rPr>
      </w:pPr>
    </w:p>
    <w:p w14:paraId="7D30FD71" w14:textId="4E4FBA0E" w:rsidR="00A160BE" w:rsidRDefault="00026F2E" w:rsidP="00444DD7">
      <w:pPr>
        <w:spacing w:after="0"/>
        <w:ind w:left="-426" w:right="372"/>
        <w:rPr>
          <w:rFonts w:ascii="Barlow" w:hAnsi="Barlow" w:cs="Calibri"/>
          <w:lang w:val="en-US"/>
        </w:rPr>
      </w:pPr>
      <w:r>
        <w:rPr>
          <w:rFonts w:ascii="Barlow" w:hAnsi="Barlow" w:cs="Calibri"/>
          <w:noProof/>
          <w:lang w:val="en-US"/>
        </w:rPr>
        <w:drawing>
          <wp:inline distT="0" distB="0" distL="0" distR="0" wp14:anchorId="63A18479" wp14:editId="2BEC6351">
            <wp:extent cx="2738785" cy="3876675"/>
            <wp:effectExtent l="0" t="0" r="444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_ORG_Batch_report2.jpg"/>
                    <pic:cNvPicPr/>
                  </pic:nvPicPr>
                  <pic:blipFill>
                    <a:blip r:embed="rId11"/>
                    <a:stretch>
                      <a:fillRect/>
                    </a:stretch>
                  </pic:blipFill>
                  <pic:spPr>
                    <a:xfrm>
                      <a:off x="0" y="0"/>
                      <a:ext cx="2771527" cy="3923021"/>
                    </a:xfrm>
                    <a:prstGeom prst="rect">
                      <a:avLst/>
                    </a:prstGeom>
                  </pic:spPr>
                </pic:pic>
              </a:graphicData>
            </a:graphic>
          </wp:inline>
        </w:drawing>
      </w:r>
    </w:p>
    <w:p w14:paraId="3BA51F05" w14:textId="481F50AC" w:rsidR="00026F2E" w:rsidRDefault="00026F2E">
      <w:pPr>
        <w:spacing w:after="0" w:line="240" w:lineRule="auto"/>
        <w:rPr>
          <w:rFonts w:ascii="Barlow" w:hAnsi="Barlow" w:cs="Calibri"/>
          <w:lang w:val="en-US"/>
        </w:rPr>
      </w:pPr>
    </w:p>
    <w:p w14:paraId="58CA6A5A" w14:textId="26AADD30" w:rsidR="00026F2E" w:rsidRDefault="00026F2E" w:rsidP="00444DD7">
      <w:pPr>
        <w:spacing w:after="0"/>
        <w:ind w:left="-426" w:right="372"/>
        <w:rPr>
          <w:rFonts w:ascii="Barlow" w:hAnsi="Barlow" w:cs="Calibri"/>
          <w:lang w:val="en-US"/>
        </w:rPr>
      </w:pPr>
      <w:r>
        <w:rPr>
          <w:rFonts w:ascii="Barlow" w:hAnsi="Barlow" w:cs="Calibri"/>
          <w:lang w:val="en-US"/>
        </w:rPr>
        <w:t>In the example below, the first batch shows an “S” which means it already was printed on a payment summary report. You can check it again if you require it on another payment summary report.</w:t>
      </w:r>
    </w:p>
    <w:p w14:paraId="04CB99BF" w14:textId="3FC27102" w:rsidR="00026F2E" w:rsidRDefault="00026F2E" w:rsidP="00444DD7">
      <w:pPr>
        <w:spacing w:after="0"/>
        <w:ind w:left="-426" w:right="372"/>
        <w:rPr>
          <w:rFonts w:ascii="Barlow" w:hAnsi="Barlow" w:cs="Calibri"/>
          <w:lang w:val="en-US"/>
        </w:rPr>
      </w:pPr>
      <w:r>
        <w:rPr>
          <w:rFonts w:ascii="Barlow" w:hAnsi="Barlow" w:cs="Calibri"/>
          <w:noProof/>
          <w:lang w:val="en-US"/>
        </w:rPr>
        <w:drawing>
          <wp:inline distT="0" distB="0" distL="0" distR="0" wp14:anchorId="42BB482B" wp14:editId="1B30DEC1">
            <wp:extent cx="6627495" cy="2470785"/>
            <wp:effectExtent l="0" t="0" r="1905" b="571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ubbatchpic4.jpg"/>
                    <pic:cNvPicPr/>
                  </pic:nvPicPr>
                  <pic:blipFill>
                    <a:blip r:embed="rId12"/>
                    <a:stretch>
                      <a:fillRect/>
                    </a:stretch>
                  </pic:blipFill>
                  <pic:spPr>
                    <a:xfrm>
                      <a:off x="0" y="0"/>
                      <a:ext cx="6627495" cy="2470785"/>
                    </a:xfrm>
                    <a:prstGeom prst="rect">
                      <a:avLst/>
                    </a:prstGeom>
                  </pic:spPr>
                </pic:pic>
              </a:graphicData>
            </a:graphic>
          </wp:inline>
        </w:drawing>
      </w:r>
    </w:p>
    <w:p w14:paraId="064F7ADC" w14:textId="4C776C70" w:rsidR="00791A93" w:rsidRDefault="00791A93">
      <w:pPr>
        <w:spacing w:after="0" w:line="240" w:lineRule="auto"/>
        <w:rPr>
          <w:rFonts w:ascii="Barlow" w:hAnsi="Barlow" w:cs="Calibri"/>
          <w:lang w:val="en-US"/>
        </w:rPr>
      </w:pPr>
    </w:p>
    <w:p w14:paraId="776D422A" w14:textId="427CDF55" w:rsidR="00791A93" w:rsidRPr="00AB3665" w:rsidRDefault="00791A93" w:rsidP="00791A93">
      <w:pPr>
        <w:ind w:left="1843" w:right="372" w:hanging="2269"/>
        <w:rPr>
          <w:rFonts w:ascii="Barlow" w:hAnsi="Barlow" w:cs="Calibri"/>
          <w:b/>
          <w:sz w:val="24"/>
          <w:szCs w:val="24"/>
          <w:lang w:val="en-US"/>
        </w:rPr>
      </w:pPr>
      <w:r>
        <w:rPr>
          <w:rFonts w:ascii="Barlow" w:hAnsi="Barlow" w:cs="Calibri"/>
          <w:b/>
          <w:sz w:val="24"/>
          <w:szCs w:val="24"/>
          <w:lang w:val="en-US"/>
        </w:rPr>
        <w:t>PTSO Payment Summary Report Screens</w:t>
      </w:r>
    </w:p>
    <w:p w14:paraId="3590501A" w14:textId="76C41C4F" w:rsidR="00791A93" w:rsidRDefault="00791A93" w:rsidP="00791A93">
      <w:pPr>
        <w:spacing w:after="0"/>
        <w:ind w:left="-426" w:right="372"/>
        <w:rPr>
          <w:rFonts w:ascii="Barlow" w:hAnsi="Barlow" w:cs="Calibri"/>
          <w:lang w:val="en-US"/>
        </w:rPr>
      </w:pPr>
      <w:r>
        <w:rPr>
          <w:rFonts w:ascii="Barlow" w:hAnsi="Barlow" w:cs="Calibri"/>
          <w:lang w:val="en-US"/>
        </w:rPr>
        <w:t xml:space="preserve">List of batches for a PTSO, only “PAY WAIT(NSO)” (payments submitted by PTSO) can be printed on </w:t>
      </w:r>
      <w:r w:rsidR="00CF7A24">
        <w:rPr>
          <w:rFonts w:ascii="Barlow" w:hAnsi="Barlow" w:cs="Calibri"/>
          <w:lang w:val="en-US"/>
        </w:rPr>
        <w:t xml:space="preserve">the </w:t>
      </w:r>
      <w:r>
        <w:rPr>
          <w:rFonts w:ascii="Barlow" w:hAnsi="Barlow" w:cs="Calibri"/>
          <w:lang w:val="en-US"/>
        </w:rPr>
        <w:t xml:space="preserve">payment summary report. These will have the check boxes beside the </w:t>
      </w:r>
      <w:r w:rsidR="00D76451">
        <w:rPr>
          <w:rFonts w:ascii="Barlow" w:hAnsi="Barlow" w:cs="Calibri"/>
          <w:lang w:val="en-US"/>
        </w:rPr>
        <w:t>“Go” button</w:t>
      </w:r>
      <w:r>
        <w:rPr>
          <w:rFonts w:ascii="Barlow" w:hAnsi="Barlow" w:cs="Calibri"/>
          <w:lang w:val="en-US"/>
        </w:rPr>
        <w:t xml:space="preserve">. You can </w:t>
      </w:r>
      <w:r w:rsidR="00D76451">
        <w:rPr>
          <w:rFonts w:ascii="Barlow" w:hAnsi="Barlow" w:cs="Calibri"/>
          <w:lang w:val="en-US"/>
        </w:rPr>
        <w:t xml:space="preserve">check </w:t>
      </w:r>
      <w:r>
        <w:rPr>
          <w:rFonts w:ascii="Barlow" w:hAnsi="Barlow" w:cs="Calibri"/>
          <w:lang w:val="en-US"/>
        </w:rPr>
        <w:t>these on and off as desired.</w:t>
      </w:r>
    </w:p>
    <w:p w14:paraId="7E15D794" w14:textId="26FC539C" w:rsidR="00733438" w:rsidRDefault="00733438" w:rsidP="00791A93">
      <w:pPr>
        <w:spacing w:after="0"/>
        <w:ind w:left="-426" w:right="372"/>
        <w:rPr>
          <w:rFonts w:ascii="Barlow" w:hAnsi="Barlow" w:cs="Calibri"/>
          <w:lang w:val="en-US"/>
        </w:rPr>
      </w:pPr>
    </w:p>
    <w:p w14:paraId="3920517A" w14:textId="25A8F9CE" w:rsidR="00733438" w:rsidRDefault="00733438" w:rsidP="00791A93">
      <w:pPr>
        <w:spacing w:after="0"/>
        <w:ind w:left="-426" w:right="372"/>
        <w:rPr>
          <w:rFonts w:ascii="Barlow" w:hAnsi="Barlow" w:cs="Calibri"/>
          <w:lang w:val="en-US"/>
        </w:rPr>
      </w:pPr>
      <w:r>
        <w:rPr>
          <w:rFonts w:ascii="Barlow" w:hAnsi="Barlow" w:cs="Calibri"/>
          <w:lang w:val="en-US"/>
        </w:rPr>
        <w:t xml:space="preserve">In the example below, only batches with “PAY WAIT(NSO)” status have the check box for selection. </w:t>
      </w:r>
    </w:p>
    <w:p w14:paraId="13728217" w14:textId="2AF55E69" w:rsidR="001F1415" w:rsidRDefault="001F1415" w:rsidP="00791A93">
      <w:pPr>
        <w:spacing w:after="0"/>
        <w:ind w:left="-426" w:right="372"/>
        <w:rPr>
          <w:rFonts w:ascii="Barlow" w:hAnsi="Barlow" w:cs="Calibri"/>
          <w:lang w:val="en-US"/>
        </w:rPr>
      </w:pPr>
    </w:p>
    <w:p w14:paraId="2233A283" w14:textId="1A6B6AA6" w:rsidR="001F1415" w:rsidRDefault="001F1415" w:rsidP="00791A93">
      <w:pPr>
        <w:spacing w:after="0"/>
        <w:ind w:left="-426" w:right="372"/>
        <w:rPr>
          <w:rFonts w:ascii="Barlow" w:hAnsi="Barlow" w:cs="Calibri"/>
          <w:lang w:val="en-US"/>
        </w:rPr>
      </w:pPr>
      <w:r>
        <w:rPr>
          <w:rFonts w:ascii="Barlow" w:hAnsi="Barlow" w:cs="Calibri"/>
          <w:noProof/>
          <w:lang w:val="en-US"/>
        </w:rPr>
        <w:drawing>
          <wp:inline distT="0" distB="0" distL="0" distR="0" wp14:anchorId="4B664295" wp14:editId="485FB339">
            <wp:extent cx="6627495" cy="2085340"/>
            <wp:effectExtent l="0" t="0" r="1905"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tsobatchpic1.jpg"/>
                    <pic:cNvPicPr/>
                  </pic:nvPicPr>
                  <pic:blipFill>
                    <a:blip r:embed="rId13"/>
                    <a:stretch>
                      <a:fillRect/>
                    </a:stretch>
                  </pic:blipFill>
                  <pic:spPr>
                    <a:xfrm>
                      <a:off x="0" y="0"/>
                      <a:ext cx="6627495" cy="2085340"/>
                    </a:xfrm>
                    <a:prstGeom prst="rect">
                      <a:avLst/>
                    </a:prstGeom>
                  </pic:spPr>
                </pic:pic>
              </a:graphicData>
            </a:graphic>
          </wp:inline>
        </w:drawing>
      </w:r>
    </w:p>
    <w:p w14:paraId="25E72D16" w14:textId="5E841ED6" w:rsidR="001F1415" w:rsidRDefault="001F1415" w:rsidP="00791A93">
      <w:pPr>
        <w:spacing w:after="0"/>
        <w:ind w:left="-426" w:right="372"/>
        <w:rPr>
          <w:rFonts w:ascii="Barlow" w:hAnsi="Barlow" w:cs="Calibri"/>
          <w:lang w:val="en-US"/>
        </w:rPr>
      </w:pPr>
    </w:p>
    <w:p w14:paraId="0D9FF121" w14:textId="0E72D7CB" w:rsidR="00733438" w:rsidRDefault="00733438" w:rsidP="00791A93">
      <w:pPr>
        <w:spacing w:after="0"/>
        <w:ind w:left="-426" w:right="372"/>
        <w:rPr>
          <w:rFonts w:ascii="Barlow" w:hAnsi="Barlow" w:cs="Calibri"/>
          <w:lang w:val="en-US"/>
        </w:rPr>
      </w:pPr>
      <w:r>
        <w:rPr>
          <w:rFonts w:ascii="Barlow" w:hAnsi="Barlow" w:cs="Calibri"/>
          <w:lang w:val="en-US"/>
        </w:rPr>
        <w:t>Once a batch has been checked, the “Payment Summary Report” button appears. You can select as many batches for payment as you need.  The “S” beside the first batch indicates it has already been printed on a payment summary report.</w:t>
      </w:r>
    </w:p>
    <w:p w14:paraId="32754737" w14:textId="5839D8A1" w:rsidR="001F1415" w:rsidRDefault="001F1415" w:rsidP="00791A93">
      <w:pPr>
        <w:spacing w:after="0"/>
        <w:ind w:left="-426" w:right="372"/>
        <w:rPr>
          <w:rFonts w:ascii="Barlow" w:hAnsi="Barlow" w:cs="Calibri"/>
          <w:lang w:val="en-US"/>
        </w:rPr>
      </w:pPr>
    </w:p>
    <w:p w14:paraId="3E38758D" w14:textId="32D0248F" w:rsidR="001F1415" w:rsidRDefault="001F1415" w:rsidP="00791A93">
      <w:pPr>
        <w:spacing w:after="0"/>
        <w:ind w:left="-426" w:right="372"/>
        <w:rPr>
          <w:rFonts w:ascii="Barlow" w:hAnsi="Barlow" w:cs="Calibri"/>
          <w:lang w:val="en-US"/>
        </w:rPr>
      </w:pPr>
      <w:r>
        <w:rPr>
          <w:rFonts w:ascii="Barlow" w:hAnsi="Barlow" w:cs="Calibri"/>
          <w:noProof/>
          <w:lang w:val="en-US"/>
        </w:rPr>
        <w:drawing>
          <wp:inline distT="0" distB="0" distL="0" distR="0" wp14:anchorId="5FA68FF5" wp14:editId="197B85FE">
            <wp:extent cx="6627495" cy="2258695"/>
            <wp:effectExtent l="0" t="0" r="1905" b="825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tsobatchpic2.jpg"/>
                    <pic:cNvPicPr/>
                  </pic:nvPicPr>
                  <pic:blipFill>
                    <a:blip r:embed="rId14"/>
                    <a:stretch>
                      <a:fillRect/>
                    </a:stretch>
                  </pic:blipFill>
                  <pic:spPr>
                    <a:xfrm>
                      <a:off x="0" y="0"/>
                      <a:ext cx="6627495" cy="2258695"/>
                    </a:xfrm>
                    <a:prstGeom prst="rect">
                      <a:avLst/>
                    </a:prstGeom>
                  </pic:spPr>
                </pic:pic>
              </a:graphicData>
            </a:graphic>
          </wp:inline>
        </w:drawing>
      </w:r>
    </w:p>
    <w:p w14:paraId="76176022" w14:textId="3E082FE2" w:rsidR="001F1415" w:rsidRDefault="001F1415" w:rsidP="00791A93">
      <w:pPr>
        <w:spacing w:after="0"/>
        <w:ind w:left="-426" w:right="372"/>
        <w:rPr>
          <w:rFonts w:ascii="Barlow" w:hAnsi="Barlow" w:cs="Calibri"/>
          <w:lang w:val="en-US"/>
        </w:rPr>
      </w:pPr>
    </w:p>
    <w:p w14:paraId="5B21D97A" w14:textId="3CA0F822" w:rsidR="001F1415" w:rsidRDefault="001F1415">
      <w:pPr>
        <w:spacing w:after="0" w:line="240" w:lineRule="auto"/>
        <w:rPr>
          <w:rFonts w:ascii="Barlow" w:hAnsi="Barlow" w:cs="Calibri"/>
          <w:lang w:val="en-US"/>
        </w:rPr>
      </w:pPr>
      <w:r>
        <w:rPr>
          <w:rFonts w:ascii="Barlow" w:hAnsi="Barlow" w:cs="Calibri"/>
          <w:lang w:val="en-US"/>
        </w:rPr>
        <w:br w:type="page"/>
      </w:r>
    </w:p>
    <w:p w14:paraId="065C0FE4" w14:textId="28CC6FCB" w:rsidR="001F1415" w:rsidRDefault="00733438" w:rsidP="00791A93">
      <w:pPr>
        <w:spacing w:after="0"/>
        <w:ind w:left="-426" w:right="372"/>
        <w:rPr>
          <w:rFonts w:ascii="Barlow" w:hAnsi="Barlow" w:cs="Calibri"/>
          <w:lang w:val="en-US"/>
        </w:rPr>
      </w:pPr>
      <w:r>
        <w:rPr>
          <w:rFonts w:ascii="Barlow" w:hAnsi="Barlow" w:cs="Calibri"/>
          <w:lang w:val="en-US"/>
        </w:rPr>
        <w:lastRenderedPageBreak/>
        <w:t xml:space="preserve">PTSOs can also submit registrant payments in this manner by going to the “Submitted Payments” screen and selection payments with “PAY WAIT(NSO)” status. </w:t>
      </w:r>
      <w:r w:rsidR="005E447B">
        <w:rPr>
          <w:rFonts w:ascii="Barlow" w:hAnsi="Barlow" w:cs="Calibri"/>
          <w:lang w:val="en-US"/>
        </w:rPr>
        <w:t>This f</w:t>
      </w:r>
      <w:r>
        <w:rPr>
          <w:rFonts w:ascii="Barlow" w:hAnsi="Barlow" w:cs="Calibri"/>
          <w:lang w:val="en-US"/>
        </w:rPr>
        <w:t>unctions the same as the batches screen. You can enter payments and batches onto the same payment summary report by going to both screens, select batches and payments and then on either screen click the “Payment Summary Report” button to display the report.</w:t>
      </w:r>
    </w:p>
    <w:p w14:paraId="3EA17FDB" w14:textId="77777777" w:rsidR="00733438" w:rsidRDefault="00733438" w:rsidP="00791A93">
      <w:pPr>
        <w:spacing w:after="0"/>
        <w:ind w:left="-426" w:right="372"/>
        <w:rPr>
          <w:rFonts w:ascii="Barlow" w:hAnsi="Barlow" w:cs="Calibri"/>
          <w:lang w:val="en-US"/>
        </w:rPr>
      </w:pPr>
    </w:p>
    <w:p w14:paraId="4770C10B" w14:textId="77777777" w:rsidR="00733438" w:rsidRDefault="00733438" w:rsidP="00791A93">
      <w:pPr>
        <w:spacing w:after="0"/>
        <w:ind w:left="-426" w:right="372"/>
        <w:rPr>
          <w:rFonts w:ascii="Barlow" w:hAnsi="Barlow" w:cs="Calibri"/>
          <w:lang w:val="en-US"/>
        </w:rPr>
      </w:pPr>
    </w:p>
    <w:p w14:paraId="13E410BB" w14:textId="7177FBBD" w:rsidR="001F1415" w:rsidRDefault="001F1415" w:rsidP="001F1415">
      <w:pPr>
        <w:spacing w:after="0"/>
        <w:ind w:left="-426" w:right="372"/>
        <w:rPr>
          <w:rFonts w:ascii="Barlow" w:hAnsi="Barlow" w:cs="Calibri"/>
          <w:lang w:val="en-US"/>
        </w:rPr>
      </w:pPr>
      <w:r>
        <w:rPr>
          <w:rFonts w:ascii="Barlow" w:hAnsi="Barlow" w:cs="Calibri"/>
          <w:noProof/>
          <w:lang w:val="en-US"/>
        </w:rPr>
        <w:drawing>
          <wp:inline distT="0" distB="0" distL="0" distR="0" wp14:anchorId="34B73D42" wp14:editId="79499F27">
            <wp:extent cx="6634971" cy="206639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6634971" cy="2066399"/>
                    </a:xfrm>
                    <a:prstGeom prst="rect">
                      <a:avLst/>
                    </a:prstGeom>
                  </pic:spPr>
                </pic:pic>
              </a:graphicData>
            </a:graphic>
          </wp:inline>
        </w:drawing>
      </w:r>
    </w:p>
    <w:p w14:paraId="23016ADD" w14:textId="3F0CF8D8" w:rsidR="001F1415" w:rsidRDefault="001F1415" w:rsidP="001F1415">
      <w:pPr>
        <w:spacing w:after="0"/>
        <w:ind w:left="-426" w:right="372"/>
        <w:rPr>
          <w:rFonts w:ascii="Barlow" w:hAnsi="Barlow" w:cs="Calibri"/>
          <w:lang w:val="en-US"/>
        </w:rPr>
      </w:pPr>
    </w:p>
    <w:p w14:paraId="6FB33E53" w14:textId="54B2BE5D" w:rsidR="001F1415" w:rsidRDefault="001F1415" w:rsidP="001F1415">
      <w:pPr>
        <w:spacing w:after="0"/>
        <w:ind w:left="-426" w:right="372"/>
        <w:rPr>
          <w:rFonts w:ascii="Barlow" w:hAnsi="Barlow" w:cs="Calibri"/>
          <w:lang w:val="en-US"/>
        </w:rPr>
      </w:pPr>
    </w:p>
    <w:p w14:paraId="683DCC66" w14:textId="0B58590F" w:rsidR="00733438" w:rsidRDefault="00733438" w:rsidP="001F1415">
      <w:pPr>
        <w:spacing w:after="0"/>
        <w:ind w:left="-426" w:right="372"/>
        <w:rPr>
          <w:rFonts w:ascii="Barlow" w:hAnsi="Barlow" w:cs="Calibri"/>
          <w:lang w:val="en-US"/>
        </w:rPr>
      </w:pPr>
      <w:r>
        <w:rPr>
          <w:rFonts w:ascii="Barlow" w:hAnsi="Barlow" w:cs="Calibri"/>
          <w:lang w:val="en-US"/>
        </w:rPr>
        <w:t>An example of a payment selected and the payment summary report button appearing.</w:t>
      </w:r>
    </w:p>
    <w:p w14:paraId="575D4108" w14:textId="77777777" w:rsidR="00733438" w:rsidRDefault="00733438" w:rsidP="001F1415">
      <w:pPr>
        <w:spacing w:after="0"/>
        <w:ind w:left="-426" w:right="372"/>
        <w:rPr>
          <w:rFonts w:ascii="Barlow" w:hAnsi="Barlow" w:cs="Calibri"/>
          <w:lang w:val="en-US"/>
        </w:rPr>
      </w:pPr>
    </w:p>
    <w:p w14:paraId="7FD6A84A" w14:textId="3CC96D06" w:rsidR="001F1415" w:rsidRDefault="001F1415" w:rsidP="001F1415">
      <w:pPr>
        <w:spacing w:after="0"/>
        <w:ind w:left="-426" w:right="372"/>
        <w:rPr>
          <w:rFonts w:ascii="Barlow" w:hAnsi="Barlow" w:cs="Calibri"/>
          <w:lang w:val="en-US"/>
        </w:rPr>
      </w:pPr>
      <w:r>
        <w:rPr>
          <w:rFonts w:ascii="Barlow" w:hAnsi="Barlow" w:cs="Calibri"/>
          <w:noProof/>
          <w:lang w:val="en-US"/>
        </w:rPr>
        <w:drawing>
          <wp:inline distT="0" distB="0" distL="0" distR="0" wp14:anchorId="40C8F8BE" wp14:editId="43029204">
            <wp:extent cx="6627494" cy="211291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6627494" cy="2112910"/>
                    </a:xfrm>
                    <a:prstGeom prst="rect">
                      <a:avLst/>
                    </a:prstGeom>
                  </pic:spPr>
                </pic:pic>
              </a:graphicData>
            </a:graphic>
          </wp:inline>
        </w:drawing>
      </w:r>
    </w:p>
    <w:p w14:paraId="166865AF" w14:textId="62A42C23" w:rsidR="001F1415" w:rsidRDefault="001F1415" w:rsidP="001F1415">
      <w:pPr>
        <w:spacing w:after="0"/>
        <w:ind w:left="-426" w:right="372"/>
        <w:rPr>
          <w:rFonts w:ascii="Barlow" w:hAnsi="Barlow" w:cs="Calibri"/>
          <w:lang w:val="en-US"/>
        </w:rPr>
      </w:pPr>
    </w:p>
    <w:p w14:paraId="4F3E35D2" w14:textId="20A3A3D7" w:rsidR="001F1415" w:rsidRDefault="001F1415">
      <w:pPr>
        <w:spacing w:after="0" w:line="240" w:lineRule="auto"/>
        <w:rPr>
          <w:rFonts w:ascii="Barlow" w:hAnsi="Barlow" w:cs="Calibri"/>
          <w:lang w:val="en-US"/>
        </w:rPr>
      </w:pPr>
      <w:r>
        <w:rPr>
          <w:rFonts w:ascii="Barlow" w:hAnsi="Barlow" w:cs="Calibri"/>
          <w:lang w:val="en-US"/>
        </w:rPr>
        <w:br w:type="page"/>
      </w:r>
    </w:p>
    <w:p w14:paraId="40D12DD2" w14:textId="5D40B393" w:rsidR="001F1415" w:rsidRDefault="00733438" w:rsidP="001F1415">
      <w:pPr>
        <w:spacing w:after="0"/>
        <w:ind w:left="-426" w:right="372"/>
        <w:rPr>
          <w:rFonts w:ascii="Barlow" w:hAnsi="Barlow" w:cs="Calibri"/>
          <w:lang w:val="en-US"/>
        </w:rPr>
      </w:pPr>
      <w:r>
        <w:rPr>
          <w:rFonts w:ascii="Barlow" w:hAnsi="Barlow" w:cs="Calibri"/>
          <w:lang w:val="en-US"/>
        </w:rPr>
        <w:lastRenderedPageBreak/>
        <w:t>An example of the PTSO Payment Summary report for submission to CAS</w:t>
      </w:r>
      <w:r w:rsidR="005E447B">
        <w:rPr>
          <w:rFonts w:ascii="Barlow" w:hAnsi="Barlow" w:cs="Calibri"/>
          <w:lang w:val="en-US"/>
        </w:rPr>
        <w:t xml:space="preserve"> with only </w:t>
      </w:r>
      <w:r w:rsidR="005042F6">
        <w:rPr>
          <w:rFonts w:ascii="Barlow" w:hAnsi="Barlow" w:cs="Calibri"/>
          <w:lang w:val="en-US"/>
        </w:rPr>
        <w:t>individual payments noted</w:t>
      </w:r>
      <w:r>
        <w:rPr>
          <w:rFonts w:ascii="Barlow" w:hAnsi="Barlow" w:cs="Calibri"/>
          <w:lang w:val="en-US"/>
        </w:rPr>
        <w:t>.</w:t>
      </w:r>
    </w:p>
    <w:p w14:paraId="5C08A6FE" w14:textId="77777777" w:rsidR="00733438" w:rsidRDefault="00733438" w:rsidP="001F1415">
      <w:pPr>
        <w:spacing w:after="0"/>
        <w:ind w:left="-426" w:right="372"/>
        <w:rPr>
          <w:rFonts w:ascii="Barlow" w:hAnsi="Barlow" w:cs="Calibri"/>
          <w:lang w:val="en-US"/>
        </w:rPr>
      </w:pPr>
    </w:p>
    <w:p w14:paraId="40AF6089" w14:textId="57EE7992" w:rsidR="001F1415" w:rsidRDefault="009E6D65" w:rsidP="001F1415">
      <w:pPr>
        <w:spacing w:after="0"/>
        <w:ind w:left="-426" w:right="372"/>
        <w:rPr>
          <w:rFonts w:ascii="Barlow" w:hAnsi="Barlow" w:cs="Calibri"/>
          <w:lang w:val="en-US"/>
        </w:rPr>
      </w:pPr>
      <w:r>
        <w:rPr>
          <w:rFonts w:ascii="Barlow" w:hAnsi="Barlow" w:cs="Calibri"/>
          <w:noProof/>
          <w:lang w:val="en-US"/>
        </w:rPr>
        <w:drawing>
          <wp:inline distT="0" distB="0" distL="0" distR="0" wp14:anchorId="72BAB2B9" wp14:editId="4D7DE9F5">
            <wp:extent cx="6627495" cy="2573533"/>
            <wp:effectExtent l="0" t="0" r="190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a:stretch>
                      <a:fillRect/>
                    </a:stretch>
                  </pic:blipFill>
                  <pic:spPr>
                    <a:xfrm>
                      <a:off x="0" y="0"/>
                      <a:ext cx="6627495" cy="2573533"/>
                    </a:xfrm>
                    <a:prstGeom prst="rect">
                      <a:avLst/>
                    </a:prstGeom>
                  </pic:spPr>
                </pic:pic>
              </a:graphicData>
            </a:graphic>
          </wp:inline>
        </w:drawing>
      </w:r>
    </w:p>
    <w:p w14:paraId="0CE84CB7" w14:textId="2D631784" w:rsidR="001F1415" w:rsidRDefault="001F1415">
      <w:pPr>
        <w:spacing w:after="0" w:line="240" w:lineRule="auto"/>
        <w:rPr>
          <w:rFonts w:ascii="Barlow" w:hAnsi="Barlow" w:cs="Calibri"/>
          <w:lang w:val="en-US"/>
        </w:rPr>
      </w:pPr>
    </w:p>
    <w:p w14:paraId="49DFB302" w14:textId="4092ACB4" w:rsidR="00733438" w:rsidRDefault="00733438" w:rsidP="003F65EA">
      <w:pPr>
        <w:spacing w:after="0" w:line="240" w:lineRule="auto"/>
        <w:ind w:left="-426"/>
        <w:rPr>
          <w:rFonts w:ascii="Barlow" w:hAnsi="Barlow" w:cs="Calibri"/>
          <w:lang w:val="en-US"/>
        </w:rPr>
      </w:pPr>
      <w:r>
        <w:rPr>
          <w:rFonts w:ascii="Barlow" w:hAnsi="Barlow" w:cs="Calibri"/>
          <w:lang w:val="en-US"/>
        </w:rPr>
        <w:t>An example of the “S” indicating that the payment has appeared on a payment summary report. Similar to the batch payment selection.</w:t>
      </w:r>
    </w:p>
    <w:p w14:paraId="41FB8D67" w14:textId="77777777" w:rsidR="001F1415" w:rsidRDefault="001F1415" w:rsidP="001F1415">
      <w:pPr>
        <w:spacing w:after="0"/>
        <w:ind w:left="-426" w:right="372"/>
        <w:rPr>
          <w:rFonts w:ascii="Barlow" w:hAnsi="Barlow" w:cs="Calibri"/>
          <w:lang w:val="en-US"/>
        </w:rPr>
      </w:pPr>
    </w:p>
    <w:p w14:paraId="73FDC075" w14:textId="519D53DF" w:rsidR="001F1415" w:rsidRDefault="001F1415" w:rsidP="001F1415">
      <w:pPr>
        <w:spacing w:after="0"/>
        <w:ind w:left="-426" w:right="372"/>
        <w:rPr>
          <w:rFonts w:ascii="Barlow" w:hAnsi="Barlow" w:cs="Calibri"/>
          <w:lang w:val="en-US"/>
        </w:rPr>
      </w:pPr>
      <w:r>
        <w:rPr>
          <w:rFonts w:ascii="Barlow" w:hAnsi="Barlow" w:cs="Calibri"/>
          <w:noProof/>
          <w:lang w:val="en-US"/>
        </w:rPr>
        <w:drawing>
          <wp:inline distT="0" distB="0" distL="0" distR="0" wp14:anchorId="369558A8" wp14:editId="6B9AB56E">
            <wp:extent cx="6627494" cy="196995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6627494" cy="1969956"/>
                    </a:xfrm>
                    <a:prstGeom prst="rect">
                      <a:avLst/>
                    </a:prstGeom>
                  </pic:spPr>
                </pic:pic>
              </a:graphicData>
            </a:graphic>
          </wp:inline>
        </w:drawing>
      </w:r>
    </w:p>
    <w:p w14:paraId="1BA7784B" w14:textId="02BE8667" w:rsidR="008942F0" w:rsidRDefault="008942F0" w:rsidP="001F1415">
      <w:pPr>
        <w:spacing w:after="0"/>
        <w:ind w:left="-426" w:right="372"/>
        <w:rPr>
          <w:rFonts w:ascii="Barlow" w:hAnsi="Barlow" w:cs="Calibri"/>
          <w:lang w:val="en-US"/>
        </w:rPr>
      </w:pPr>
    </w:p>
    <w:p w14:paraId="6236D6E3" w14:textId="77777777" w:rsidR="008942F0" w:rsidRPr="00DB21CA" w:rsidRDefault="008942F0" w:rsidP="001F1415">
      <w:pPr>
        <w:spacing w:after="0"/>
        <w:ind w:left="-426" w:right="372"/>
        <w:rPr>
          <w:rFonts w:ascii="Barlow" w:hAnsi="Barlow" w:cs="Calibri"/>
          <w:lang w:val="en-US"/>
        </w:rPr>
      </w:pPr>
    </w:p>
    <w:sectPr w:rsidR="008942F0" w:rsidRPr="00DB21CA" w:rsidSect="00C7371A">
      <w:headerReference w:type="default" r:id="rId19"/>
      <w:footerReference w:type="default" r:id="rId20"/>
      <w:pgSz w:w="12240" w:h="15840"/>
      <w:pgMar w:top="1440" w:right="36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36A91" w14:textId="77777777" w:rsidR="00DD1BD0" w:rsidRDefault="00DD1BD0" w:rsidP="00444DD7">
      <w:pPr>
        <w:spacing w:after="0" w:line="240" w:lineRule="auto"/>
      </w:pPr>
      <w:r>
        <w:separator/>
      </w:r>
    </w:p>
  </w:endnote>
  <w:endnote w:type="continuationSeparator" w:id="0">
    <w:p w14:paraId="5AAB47BC" w14:textId="77777777" w:rsidR="00DD1BD0" w:rsidRDefault="00DD1BD0" w:rsidP="00444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Barlow"/>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272325"/>
      <w:docPartObj>
        <w:docPartGallery w:val="Page Numbers (Bottom of Page)"/>
        <w:docPartUnique/>
      </w:docPartObj>
    </w:sdtPr>
    <w:sdtEndPr>
      <w:rPr>
        <w:noProof/>
      </w:rPr>
    </w:sdtEndPr>
    <w:sdtContent>
      <w:p w14:paraId="216BB2F9" w14:textId="7A475325" w:rsidR="00204B72" w:rsidRDefault="00204B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6E70FC" w14:textId="77777777" w:rsidR="00204B72" w:rsidRDefault="00204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05BAE" w14:textId="77777777" w:rsidR="00DD1BD0" w:rsidRDefault="00DD1BD0" w:rsidP="00444DD7">
      <w:pPr>
        <w:spacing w:after="0" w:line="240" w:lineRule="auto"/>
      </w:pPr>
      <w:r>
        <w:separator/>
      </w:r>
    </w:p>
  </w:footnote>
  <w:footnote w:type="continuationSeparator" w:id="0">
    <w:p w14:paraId="6EF97DF9" w14:textId="77777777" w:rsidR="00DD1BD0" w:rsidRDefault="00DD1BD0" w:rsidP="00444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DA289" w14:textId="1608E96B" w:rsidR="00510C9C" w:rsidRDefault="00510C9C">
    <w:pPr>
      <w:pStyle w:val="Header"/>
    </w:pPr>
    <w:r>
      <w:rPr>
        <w:noProof/>
      </w:rPr>
      <w:drawing>
        <wp:anchor distT="0" distB="0" distL="114300" distR="114300" simplePos="0" relativeHeight="251659264" behindDoc="0" locked="0" layoutInCell="1" allowOverlap="1" wp14:anchorId="4E60DD8D" wp14:editId="48812DE2">
          <wp:simplePos x="0" y="0"/>
          <wp:positionH relativeFrom="margin">
            <wp:posOffset>1769745</wp:posOffset>
          </wp:positionH>
          <wp:positionV relativeFrom="paragraph">
            <wp:posOffset>37465</wp:posOffset>
          </wp:positionV>
          <wp:extent cx="4572000" cy="676275"/>
          <wp:effectExtent l="0" t="0" r="0" b="0"/>
          <wp:wrapNone/>
          <wp:docPr id="6" name="Image 1">
            <a:extLst xmlns:a="http://schemas.openxmlformats.org/drawingml/2006/main">
              <a:ext uri="{FF2B5EF4-FFF2-40B4-BE49-F238E27FC236}">
                <a16:creationId xmlns:a16="http://schemas.microsoft.com/office/drawing/2014/main" id="{500EBD6A-F1B8-43FE-86FD-D5F46B247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500EBD6A-F1B8-43FE-86FD-D5F46B2475D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26675" b="27551"/>
                  <a:stretch>
                    <a:fillRect/>
                  </a:stretch>
                </pic:blipFill>
                <pic:spPr bwMode="auto">
                  <a:xfrm>
                    <a:off x="0" y="0"/>
                    <a:ext cx="4572000" cy="676275"/>
                  </a:xfrm>
                  <a:prstGeom prst="rect">
                    <a:avLst/>
                  </a:prstGeom>
                  <a:noFill/>
                  <a:ln>
                    <a:noFill/>
                  </a:ln>
                </pic:spPr>
              </pic:pic>
            </a:graphicData>
          </a:graphic>
        </wp:anchor>
      </w:drawing>
    </w:r>
    <w:r w:rsidRPr="003D3BCA">
      <w:rPr>
        <w:noProof/>
        <w:sz w:val="24"/>
        <w:szCs w:val="24"/>
        <w:lang w:val="en-US"/>
      </w:rPr>
      <w:drawing>
        <wp:inline distT="0" distB="0" distL="0" distR="0" wp14:anchorId="4EC384DC" wp14:editId="0CCB2916">
          <wp:extent cx="1328400" cy="885600"/>
          <wp:effectExtent l="0" t="0" r="5715" b="0"/>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_English_Logo_Colour_CMYK.jpg"/>
                  <pic:cNvPicPr/>
                </pic:nvPicPr>
                <pic:blipFill>
                  <a:blip r:embed="rId2"/>
                  <a:stretch>
                    <a:fillRect/>
                  </a:stretch>
                </pic:blipFill>
                <pic:spPr>
                  <a:xfrm>
                    <a:off x="0" y="0"/>
                    <a:ext cx="1328400" cy="885600"/>
                  </a:xfrm>
                  <a:prstGeom prst="rect">
                    <a:avLst/>
                  </a:prstGeom>
                </pic:spPr>
              </pic:pic>
            </a:graphicData>
          </a:graphic>
        </wp:inline>
      </w:drawing>
    </w:r>
  </w:p>
  <w:p w14:paraId="367F783E" w14:textId="77777777" w:rsidR="00510C9C" w:rsidRDefault="00510C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7B9"/>
    <w:rsid w:val="00026F2E"/>
    <w:rsid w:val="00027959"/>
    <w:rsid w:val="00030B5A"/>
    <w:rsid w:val="00033D10"/>
    <w:rsid w:val="00044127"/>
    <w:rsid w:val="0004415E"/>
    <w:rsid w:val="000713D9"/>
    <w:rsid w:val="000740C8"/>
    <w:rsid w:val="000A7BC9"/>
    <w:rsid w:val="000B74B4"/>
    <w:rsid w:val="000C6408"/>
    <w:rsid w:val="000D5D6F"/>
    <w:rsid w:val="000F1D85"/>
    <w:rsid w:val="000F5853"/>
    <w:rsid w:val="00125B42"/>
    <w:rsid w:val="0015616D"/>
    <w:rsid w:val="00172F68"/>
    <w:rsid w:val="00174FF2"/>
    <w:rsid w:val="00184D0C"/>
    <w:rsid w:val="001A62E5"/>
    <w:rsid w:val="001B0343"/>
    <w:rsid w:val="001B7468"/>
    <w:rsid w:val="001C7C99"/>
    <w:rsid w:val="001E1C86"/>
    <w:rsid w:val="001E42C9"/>
    <w:rsid w:val="001F1415"/>
    <w:rsid w:val="001F45F5"/>
    <w:rsid w:val="001F6F2C"/>
    <w:rsid w:val="00200EAD"/>
    <w:rsid w:val="00204B72"/>
    <w:rsid w:val="0020635E"/>
    <w:rsid w:val="002117A7"/>
    <w:rsid w:val="0022069D"/>
    <w:rsid w:val="00255FC7"/>
    <w:rsid w:val="00262236"/>
    <w:rsid w:val="002637B9"/>
    <w:rsid w:val="002645B2"/>
    <w:rsid w:val="002662BE"/>
    <w:rsid w:val="002A0CF6"/>
    <w:rsid w:val="002B3ECB"/>
    <w:rsid w:val="002B4012"/>
    <w:rsid w:val="002C0263"/>
    <w:rsid w:val="002C5CA7"/>
    <w:rsid w:val="002C61FA"/>
    <w:rsid w:val="002E2219"/>
    <w:rsid w:val="002E490F"/>
    <w:rsid w:val="00344A6A"/>
    <w:rsid w:val="00347ECC"/>
    <w:rsid w:val="00361DB0"/>
    <w:rsid w:val="003A0F2C"/>
    <w:rsid w:val="003C692C"/>
    <w:rsid w:val="003D349C"/>
    <w:rsid w:val="003D3BCA"/>
    <w:rsid w:val="003E54A4"/>
    <w:rsid w:val="003F2B7E"/>
    <w:rsid w:val="003F65EA"/>
    <w:rsid w:val="0040307E"/>
    <w:rsid w:val="004110A0"/>
    <w:rsid w:val="00421E89"/>
    <w:rsid w:val="00425E9F"/>
    <w:rsid w:val="00444DD7"/>
    <w:rsid w:val="004517B8"/>
    <w:rsid w:val="00457E06"/>
    <w:rsid w:val="00461D94"/>
    <w:rsid w:val="00466751"/>
    <w:rsid w:val="00473E91"/>
    <w:rsid w:val="00486CDF"/>
    <w:rsid w:val="004E613B"/>
    <w:rsid w:val="004F5AAE"/>
    <w:rsid w:val="005042F6"/>
    <w:rsid w:val="00510C9C"/>
    <w:rsid w:val="005149EC"/>
    <w:rsid w:val="0052148E"/>
    <w:rsid w:val="00526DA2"/>
    <w:rsid w:val="005325D8"/>
    <w:rsid w:val="00532DFC"/>
    <w:rsid w:val="00544C44"/>
    <w:rsid w:val="005505CD"/>
    <w:rsid w:val="00555E20"/>
    <w:rsid w:val="0056285C"/>
    <w:rsid w:val="005636DC"/>
    <w:rsid w:val="00573B52"/>
    <w:rsid w:val="00576265"/>
    <w:rsid w:val="00580DCB"/>
    <w:rsid w:val="005823A6"/>
    <w:rsid w:val="005A6D64"/>
    <w:rsid w:val="005B034D"/>
    <w:rsid w:val="005C228D"/>
    <w:rsid w:val="005C5783"/>
    <w:rsid w:val="005D32FD"/>
    <w:rsid w:val="005D673F"/>
    <w:rsid w:val="005E447B"/>
    <w:rsid w:val="005F323E"/>
    <w:rsid w:val="005F365A"/>
    <w:rsid w:val="005F768D"/>
    <w:rsid w:val="006167F1"/>
    <w:rsid w:val="0063205A"/>
    <w:rsid w:val="00651475"/>
    <w:rsid w:val="006650C8"/>
    <w:rsid w:val="006B0967"/>
    <w:rsid w:val="006D5541"/>
    <w:rsid w:val="006D639A"/>
    <w:rsid w:val="00706FAF"/>
    <w:rsid w:val="00721BDE"/>
    <w:rsid w:val="00733438"/>
    <w:rsid w:val="00770BD2"/>
    <w:rsid w:val="00782D19"/>
    <w:rsid w:val="00783709"/>
    <w:rsid w:val="00791A93"/>
    <w:rsid w:val="00792935"/>
    <w:rsid w:val="007A256B"/>
    <w:rsid w:val="007A3160"/>
    <w:rsid w:val="007B5ECF"/>
    <w:rsid w:val="007D6DE2"/>
    <w:rsid w:val="007E21C1"/>
    <w:rsid w:val="007E4449"/>
    <w:rsid w:val="0081298E"/>
    <w:rsid w:val="00875DC2"/>
    <w:rsid w:val="00880DC8"/>
    <w:rsid w:val="00880E0C"/>
    <w:rsid w:val="008827A2"/>
    <w:rsid w:val="008942F0"/>
    <w:rsid w:val="00894899"/>
    <w:rsid w:val="008E67FD"/>
    <w:rsid w:val="00917121"/>
    <w:rsid w:val="00920424"/>
    <w:rsid w:val="009222FE"/>
    <w:rsid w:val="00923A9C"/>
    <w:rsid w:val="0096084C"/>
    <w:rsid w:val="00964CA9"/>
    <w:rsid w:val="00992B96"/>
    <w:rsid w:val="009A3EEF"/>
    <w:rsid w:val="009D7A94"/>
    <w:rsid w:val="009E3FED"/>
    <w:rsid w:val="009E6D65"/>
    <w:rsid w:val="009E7EDE"/>
    <w:rsid w:val="009F2B44"/>
    <w:rsid w:val="00A03969"/>
    <w:rsid w:val="00A160BE"/>
    <w:rsid w:val="00A2393E"/>
    <w:rsid w:val="00A3369F"/>
    <w:rsid w:val="00A64412"/>
    <w:rsid w:val="00A70DB0"/>
    <w:rsid w:val="00A87519"/>
    <w:rsid w:val="00AB3665"/>
    <w:rsid w:val="00AE24C5"/>
    <w:rsid w:val="00AF10F4"/>
    <w:rsid w:val="00AF2281"/>
    <w:rsid w:val="00B74EAF"/>
    <w:rsid w:val="00B76561"/>
    <w:rsid w:val="00BB4BFA"/>
    <w:rsid w:val="00C21446"/>
    <w:rsid w:val="00C2629C"/>
    <w:rsid w:val="00C51DB5"/>
    <w:rsid w:val="00C51DF9"/>
    <w:rsid w:val="00C67966"/>
    <w:rsid w:val="00C7371A"/>
    <w:rsid w:val="00CB65F4"/>
    <w:rsid w:val="00CC47F4"/>
    <w:rsid w:val="00CE7DB1"/>
    <w:rsid w:val="00CF7A24"/>
    <w:rsid w:val="00D05357"/>
    <w:rsid w:val="00D105CF"/>
    <w:rsid w:val="00D419A4"/>
    <w:rsid w:val="00D42C12"/>
    <w:rsid w:val="00D53C6E"/>
    <w:rsid w:val="00D53D6F"/>
    <w:rsid w:val="00D6546B"/>
    <w:rsid w:val="00D76451"/>
    <w:rsid w:val="00DB21CA"/>
    <w:rsid w:val="00DB4783"/>
    <w:rsid w:val="00DC405D"/>
    <w:rsid w:val="00DD1BD0"/>
    <w:rsid w:val="00DE3E4B"/>
    <w:rsid w:val="00DE5D63"/>
    <w:rsid w:val="00DF1DB4"/>
    <w:rsid w:val="00E20D68"/>
    <w:rsid w:val="00E43F17"/>
    <w:rsid w:val="00E56F1C"/>
    <w:rsid w:val="00E64815"/>
    <w:rsid w:val="00E75DF9"/>
    <w:rsid w:val="00E826DB"/>
    <w:rsid w:val="00EB262B"/>
    <w:rsid w:val="00ED0370"/>
    <w:rsid w:val="00EF1FE3"/>
    <w:rsid w:val="00EF4568"/>
    <w:rsid w:val="00F20196"/>
    <w:rsid w:val="00F22C0F"/>
    <w:rsid w:val="00F26FDD"/>
    <w:rsid w:val="00F33B8D"/>
    <w:rsid w:val="00F43E1A"/>
    <w:rsid w:val="00F44B14"/>
    <w:rsid w:val="00F679A1"/>
    <w:rsid w:val="00F7391C"/>
    <w:rsid w:val="00F7737E"/>
    <w:rsid w:val="00F81994"/>
    <w:rsid w:val="00F95846"/>
    <w:rsid w:val="00F95910"/>
    <w:rsid w:val="00FD6BA6"/>
    <w:rsid w:val="00FD7726"/>
    <w:rsid w:val="00FF0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C607EBE"/>
  <w15:docId w15:val="{ECA626DA-BA38-4DDE-AAE7-3759FE78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D6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637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637B9"/>
    <w:rPr>
      <w:rFonts w:ascii="Tahoma" w:hAnsi="Tahoma" w:cs="Tahoma"/>
      <w:sz w:val="16"/>
      <w:szCs w:val="16"/>
    </w:rPr>
  </w:style>
  <w:style w:type="character" w:styleId="Hyperlink">
    <w:name w:val="Hyperlink"/>
    <w:uiPriority w:val="99"/>
    <w:rsid w:val="002637B9"/>
    <w:rPr>
      <w:rFonts w:cs="Times New Roman"/>
      <w:color w:val="0000FF"/>
      <w:u w:val="single"/>
    </w:rPr>
  </w:style>
  <w:style w:type="character" w:styleId="UnresolvedMention">
    <w:name w:val="Unresolved Mention"/>
    <w:uiPriority w:val="99"/>
    <w:semiHidden/>
    <w:unhideWhenUsed/>
    <w:rsid w:val="002C0263"/>
    <w:rPr>
      <w:color w:val="605E5C"/>
      <w:shd w:val="clear" w:color="auto" w:fill="E1DFDD"/>
    </w:rPr>
  </w:style>
  <w:style w:type="table" w:styleId="TableGrid">
    <w:name w:val="Table Grid"/>
    <w:basedOn w:val="TableNormal"/>
    <w:locked/>
    <w:rsid w:val="00DE5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4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DD7"/>
    <w:rPr>
      <w:sz w:val="22"/>
      <w:szCs w:val="22"/>
      <w:lang w:eastAsia="en-US"/>
    </w:rPr>
  </w:style>
  <w:style w:type="paragraph" w:styleId="Footer">
    <w:name w:val="footer"/>
    <w:basedOn w:val="Normal"/>
    <w:link w:val="FooterChar"/>
    <w:uiPriority w:val="99"/>
    <w:unhideWhenUsed/>
    <w:rsid w:val="00444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DD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986429">
      <w:bodyDiv w:val="1"/>
      <w:marLeft w:val="0"/>
      <w:marRight w:val="0"/>
      <w:marTop w:val="0"/>
      <w:marBottom w:val="0"/>
      <w:divBdr>
        <w:top w:val="none" w:sz="0" w:space="0" w:color="auto"/>
        <w:left w:val="none" w:sz="0" w:space="0" w:color="auto"/>
        <w:bottom w:val="none" w:sz="0" w:space="0" w:color="auto"/>
        <w:right w:val="none" w:sz="0" w:space="0" w:color="auto"/>
      </w:divBdr>
    </w:div>
    <w:div w:id="1400204615">
      <w:marLeft w:val="0"/>
      <w:marRight w:val="0"/>
      <w:marTop w:val="0"/>
      <w:marBottom w:val="0"/>
      <w:divBdr>
        <w:top w:val="none" w:sz="0" w:space="0" w:color="auto"/>
        <w:left w:val="none" w:sz="0" w:space="0" w:color="auto"/>
        <w:bottom w:val="none" w:sz="0" w:space="0" w:color="auto"/>
        <w:right w:val="none" w:sz="0" w:space="0" w:color="auto"/>
      </w:divBdr>
    </w:div>
    <w:div w:id="166523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7F6558F43684EB3E41C11CFE3F289" ma:contentTypeVersion="13" ma:contentTypeDescription="Create a new document." ma:contentTypeScope="" ma:versionID="5fae5083bc770d92b787884f2c09a262">
  <xsd:schema xmlns:xsd="http://www.w3.org/2001/XMLSchema" xmlns:xs="http://www.w3.org/2001/XMLSchema" xmlns:p="http://schemas.microsoft.com/office/2006/metadata/properties" xmlns:ns3="8173972c-4e04-4ce3-9d80-2e13dca30dc9" xmlns:ns4="9dc4d834-4a96-4e58-ad66-b036da5bfd18" targetNamespace="http://schemas.microsoft.com/office/2006/metadata/properties" ma:root="true" ma:fieldsID="1c0b0e8cd2d1149e440bea45fca8d222" ns3:_="" ns4:_="">
    <xsd:import namespace="8173972c-4e04-4ce3-9d80-2e13dca30dc9"/>
    <xsd:import namespace="9dc4d834-4a96-4e58-ad66-b036da5bfd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3972c-4e04-4ce3-9d80-2e13dca30d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4d834-4a96-4e58-ad66-b036da5bfd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E93094-CE63-425C-88F8-76221EA01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3972c-4e04-4ce3-9d80-2e13dca30dc9"/>
    <ds:schemaRef ds:uri="9dc4d834-4a96-4e58-ad66-b036da5bf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F3610-B6EA-4C9B-8248-10BCDB6E9542}">
  <ds:schemaRefs>
    <ds:schemaRef ds:uri="http://schemas.microsoft.com/sharepoint/v3/contenttype/forms"/>
  </ds:schemaRefs>
</ds:datastoreItem>
</file>

<file path=customXml/itemProps3.xml><?xml version="1.0" encoding="utf-8"?>
<ds:datastoreItem xmlns:ds="http://schemas.openxmlformats.org/officeDocument/2006/customXml" ds:itemID="{FA2491F1-68BE-42C0-AFEC-68562D389D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788</Words>
  <Characters>3867</Characters>
  <Application>Microsoft Office Word</Application>
  <DocSecurity>4</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7</dc:creator>
  <cp:keywords/>
  <dc:description/>
  <cp:lastModifiedBy>Jackie Buckingham</cp:lastModifiedBy>
  <cp:revision>2</cp:revision>
  <cp:lastPrinted>2018-09-11T13:51:00Z</cp:lastPrinted>
  <dcterms:created xsi:type="dcterms:W3CDTF">2020-08-26T17:19:00Z</dcterms:created>
  <dcterms:modified xsi:type="dcterms:W3CDTF">2020-08-26T17:19:00Z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0x01010068C7F6558F43684EB3E41C11CFE3F289</vt:lpwstr>
  </property>
</Properties>
</file>